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359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47"/>
      </w:tblGrid>
      <w:tr w:rsidR="003B0313" w:rsidRPr="003519A1" w:rsidTr="00CD1F5A">
        <w:trPr>
          <w:trHeight w:val="269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B0313" w:rsidRPr="003519A1" w:rsidRDefault="003B0313" w:rsidP="00CD1F5A">
            <w:pPr>
              <w:autoSpaceDE w:val="0"/>
              <w:autoSpaceDN w:val="0"/>
              <w:adjustRightInd w:val="0"/>
              <w:rPr>
                <w:rFonts w:eastAsia="Calibri"/>
                <w:noProof/>
              </w:rPr>
            </w:pPr>
          </w:p>
          <w:p w:rsidR="003B0313" w:rsidRPr="003519A1" w:rsidRDefault="003B0313" w:rsidP="00CD1F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19A1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1289050" cy="1063284"/>
                  <wp:effectExtent l="0" t="0" r="6350" b="3810"/>
                  <wp:docPr id="2" name="Immagine 2" descr="ALTO_SALENT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ALTO_SALENT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401" cy="107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19A1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745314" cy="850900"/>
                  <wp:effectExtent l="0" t="0" r="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681" cy="857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313" w:rsidRPr="003519A1" w:rsidRDefault="003B0313" w:rsidP="003519A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3519A1">
              <w:rPr>
                <w:b/>
                <w:bCs/>
                <w:color w:val="FF0000"/>
                <w:sz w:val="22"/>
                <w:szCs w:val="22"/>
              </w:rPr>
              <w:t>ISTITUTO SUPERIORE“PANTANELLI- MONNET”</w:t>
            </w:r>
          </w:p>
          <w:p w:rsidR="003B0313" w:rsidRPr="003519A1" w:rsidRDefault="003B0313" w:rsidP="003519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19A1">
              <w:rPr>
                <w:b/>
                <w:bCs/>
                <w:color w:val="0070C0"/>
                <w:sz w:val="22"/>
                <w:szCs w:val="22"/>
              </w:rPr>
              <w:t>Sezione agraria OSTUNI (BR)</w:t>
            </w:r>
          </w:p>
          <w:p w:rsidR="003B0313" w:rsidRPr="005131C8" w:rsidRDefault="003B0313" w:rsidP="00CD1F5A">
            <w:pPr>
              <w:pStyle w:val="Default"/>
              <w:jc w:val="center"/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:rsidR="00C940C7" w:rsidRPr="003519A1" w:rsidRDefault="00C940C7" w:rsidP="003B0313">
      <w:pPr>
        <w:rPr>
          <w:rFonts w:ascii="Calibri" w:hAnsi="Calibri" w:cs="Calibri"/>
          <w:b/>
          <w:sz w:val="16"/>
          <w:szCs w:val="16"/>
        </w:rPr>
      </w:pPr>
    </w:p>
    <w:p w:rsidR="00C940C7" w:rsidRDefault="00C940C7" w:rsidP="003519A1">
      <w:pPr>
        <w:jc w:val="center"/>
        <w:rPr>
          <w:rFonts w:ascii="Calibri" w:hAnsi="Calibri" w:cs="Calibri"/>
          <w:b/>
          <w:sz w:val="40"/>
          <w:szCs w:val="40"/>
        </w:rPr>
      </w:pPr>
      <w:r w:rsidRPr="006A3865">
        <w:rPr>
          <w:rFonts w:ascii="Calibri" w:hAnsi="Calibri" w:cs="Calibri"/>
          <w:b/>
          <w:sz w:val="40"/>
          <w:szCs w:val="40"/>
        </w:rPr>
        <w:t>Conferenza Stampa</w:t>
      </w:r>
    </w:p>
    <w:p w:rsidR="00681463" w:rsidRPr="003519A1" w:rsidRDefault="00681463" w:rsidP="003519A1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_GoBack"/>
      <w:bookmarkEnd w:id="0"/>
    </w:p>
    <w:p w:rsidR="008A134E" w:rsidRPr="00F25AA3" w:rsidRDefault="00B421B0" w:rsidP="00CB436B">
      <w:pPr>
        <w:jc w:val="center"/>
        <w:rPr>
          <w:rFonts w:asciiTheme="minorHAnsi" w:hAnsiTheme="minorHAnsi"/>
        </w:rPr>
      </w:pPr>
      <w:r w:rsidRPr="00F25AA3">
        <w:rPr>
          <w:rFonts w:asciiTheme="minorHAnsi" w:hAnsiTheme="minorHAnsi"/>
        </w:rPr>
        <w:t xml:space="preserve">Presentazione del progetto di cooperazione </w:t>
      </w:r>
      <w:proofErr w:type="spellStart"/>
      <w:r w:rsidRPr="00F25AA3">
        <w:rPr>
          <w:rFonts w:asciiTheme="minorHAnsi" w:hAnsiTheme="minorHAnsi"/>
        </w:rPr>
        <w:t>interritoriale</w:t>
      </w:r>
      <w:proofErr w:type="spellEnd"/>
    </w:p>
    <w:p w:rsidR="00CB436B" w:rsidRPr="00F25AA3" w:rsidRDefault="00B421B0" w:rsidP="00CB436B">
      <w:pPr>
        <w:jc w:val="center"/>
        <w:rPr>
          <w:rFonts w:asciiTheme="minorHAnsi" w:hAnsiTheme="minorHAnsi"/>
        </w:rPr>
      </w:pPr>
      <w:r w:rsidRPr="00F25AA3">
        <w:rPr>
          <w:rFonts w:asciiTheme="minorHAnsi" w:hAnsiTheme="minorHAnsi"/>
        </w:rPr>
        <w:t xml:space="preserve">“Promuovere il sistema turistico locale sostenibile pugliese”  </w:t>
      </w:r>
    </w:p>
    <w:p w:rsidR="00C940C7" w:rsidRPr="00F25AA3" w:rsidRDefault="00CB436B" w:rsidP="00CB436B">
      <w:pPr>
        <w:jc w:val="center"/>
        <w:rPr>
          <w:rFonts w:ascii="Calibri" w:hAnsi="Calibri" w:cs="Calibri"/>
          <w:bCs/>
        </w:rPr>
      </w:pPr>
      <w:r w:rsidRPr="00F25AA3">
        <w:rPr>
          <w:rFonts w:ascii="Calibri" w:hAnsi="Calibri" w:cs="Calibri"/>
          <w:bCs/>
        </w:rPr>
        <w:t>Convenzione</w:t>
      </w:r>
      <w:r w:rsidR="003B0313" w:rsidRPr="00F25AA3">
        <w:rPr>
          <w:rFonts w:ascii="Calibri" w:hAnsi="Calibri" w:cs="Calibri"/>
          <w:bCs/>
        </w:rPr>
        <w:t xml:space="preserve"> </w:t>
      </w:r>
      <w:proofErr w:type="spellStart"/>
      <w:r w:rsidR="003B0313" w:rsidRPr="00F25AA3">
        <w:rPr>
          <w:rFonts w:ascii="Calibri" w:hAnsi="Calibri" w:cs="Calibri"/>
          <w:bCs/>
        </w:rPr>
        <w:t>tra</w:t>
      </w:r>
      <w:r w:rsidR="00C940C7" w:rsidRPr="00F25AA3">
        <w:rPr>
          <w:rFonts w:ascii="Calibri" w:hAnsi="Calibri" w:cs="Calibri"/>
          <w:bCs/>
        </w:rPr>
        <w:t>l</w:t>
      </w:r>
      <w:proofErr w:type="spellEnd"/>
      <w:r w:rsidR="00C940C7" w:rsidRPr="00F25AA3">
        <w:rPr>
          <w:rFonts w:ascii="Calibri" w:hAnsi="Calibri" w:cs="Calibri"/>
          <w:bCs/>
        </w:rPr>
        <w:t>’istituto superior</w:t>
      </w:r>
      <w:r w:rsidR="003B0313" w:rsidRPr="00F25AA3">
        <w:rPr>
          <w:rFonts w:ascii="Calibri" w:hAnsi="Calibri" w:cs="Calibri"/>
          <w:bCs/>
        </w:rPr>
        <w:t xml:space="preserve">e </w:t>
      </w:r>
      <w:proofErr w:type="spellStart"/>
      <w:r w:rsidR="003B0313" w:rsidRPr="00F25AA3">
        <w:rPr>
          <w:rFonts w:ascii="Calibri" w:hAnsi="Calibri" w:cs="Calibri"/>
          <w:bCs/>
        </w:rPr>
        <w:t>Pantanelli-Monnet</w:t>
      </w:r>
      <w:proofErr w:type="spellEnd"/>
      <w:r w:rsidR="003B0313" w:rsidRPr="00F25AA3">
        <w:rPr>
          <w:rFonts w:ascii="Calibri" w:hAnsi="Calibri" w:cs="Calibri"/>
          <w:bCs/>
        </w:rPr>
        <w:t xml:space="preserve">  e il Gal Alto </w:t>
      </w:r>
      <w:proofErr w:type="spellStart"/>
      <w:r w:rsidR="003B0313" w:rsidRPr="00F25AA3">
        <w:rPr>
          <w:rFonts w:ascii="Calibri" w:hAnsi="Calibri" w:cs="Calibri"/>
          <w:bCs/>
        </w:rPr>
        <w:t>salento</w:t>
      </w:r>
      <w:proofErr w:type="spellEnd"/>
    </w:p>
    <w:p w:rsidR="00F10279" w:rsidRPr="00F25AA3" w:rsidRDefault="00B421B0" w:rsidP="003519A1">
      <w:pPr>
        <w:jc w:val="center"/>
        <w:rPr>
          <w:rFonts w:ascii="Calibri" w:hAnsi="Calibri" w:cs="Calibri"/>
          <w:bCs/>
        </w:rPr>
      </w:pPr>
      <w:r w:rsidRPr="00F25AA3">
        <w:rPr>
          <w:rFonts w:ascii="Calibri" w:hAnsi="Calibri" w:cs="Calibri"/>
          <w:bCs/>
        </w:rPr>
        <w:t>per la realizzazio</w:t>
      </w:r>
      <w:r w:rsidR="00CB436B" w:rsidRPr="00F25AA3">
        <w:rPr>
          <w:rFonts w:ascii="Calibri" w:hAnsi="Calibri" w:cs="Calibri"/>
          <w:bCs/>
        </w:rPr>
        <w:t>ne del laboratorio policentrico rurale di antiche arti e mestieri</w:t>
      </w:r>
    </w:p>
    <w:p w:rsidR="00CB436B" w:rsidRPr="00F10279" w:rsidRDefault="00F10279" w:rsidP="00CB436B">
      <w:pPr>
        <w:jc w:val="center"/>
        <w:rPr>
          <w:rFonts w:asciiTheme="minorHAnsi" w:hAnsiTheme="minorHAnsi"/>
          <w:b/>
        </w:rPr>
      </w:pPr>
      <w:r w:rsidRPr="00F10279">
        <w:rPr>
          <w:rFonts w:asciiTheme="minorHAnsi" w:hAnsiTheme="minorHAnsi"/>
          <w:b/>
        </w:rPr>
        <w:t>Sabato 14 febbraio c.a.  alle ore 11:00 presso l’auditorium dell’Istituto agrario di Ostuni</w:t>
      </w:r>
    </w:p>
    <w:p w:rsidR="00CB436B" w:rsidRDefault="00CB436B" w:rsidP="00B421B0">
      <w:pPr>
        <w:rPr>
          <w:rFonts w:asciiTheme="minorHAnsi" w:hAnsiTheme="minorHAnsi"/>
        </w:rPr>
      </w:pPr>
    </w:p>
    <w:p w:rsidR="009D6953" w:rsidRPr="009D6953" w:rsidRDefault="00106A10" w:rsidP="00F25AA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3B0313" w:rsidRPr="00B421B0">
        <w:rPr>
          <w:rFonts w:asciiTheme="minorHAnsi" w:hAnsiTheme="minorHAnsi"/>
        </w:rPr>
        <w:t>n attuazione del programma di Iniziativa Comunitaria</w:t>
      </w:r>
      <w:r w:rsidR="005131C8">
        <w:rPr>
          <w:rFonts w:asciiTheme="minorHAnsi" w:hAnsiTheme="minorHAnsi"/>
        </w:rPr>
        <w:t xml:space="preserve"> "Leader Plus</w:t>
      </w:r>
      <w:r w:rsidR="00F25AA3">
        <w:rPr>
          <w:rFonts w:asciiTheme="minorHAnsi" w:hAnsiTheme="minorHAnsi"/>
        </w:rPr>
        <w:t>"</w:t>
      </w:r>
      <w:r>
        <w:rPr>
          <w:rFonts w:asciiTheme="minorHAnsi" w:hAnsiTheme="minorHAnsi"/>
        </w:rPr>
        <w:t xml:space="preserve">che mira a </w:t>
      </w:r>
      <w:r w:rsidR="003B0313" w:rsidRPr="00B421B0">
        <w:rPr>
          <w:rFonts w:asciiTheme="minorHAnsi" w:hAnsiTheme="minorHAnsi"/>
        </w:rPr>
        <w:t>dinamizzare il contesto loc</w:t>
      </w:r>
      <w:r>
        <w:rPr>
          <w:rFonts w:asciiTheme="minorHAnsi" w:hAnsiTheme="minorHAnsi"/>
        </w:rPr>
        <w:t xml:space="preserve">ale, promuovendo </w:t>
      </w:r>
      <w:r w:rsidR="003B0313" w:rsidRPr="00B421B0">
        <w:rPr>
          <w:rFonts w:asciiTheme="minorHAnsi" w:hAnsiTheme="minorHAnsi"/>
        </w:rPr>
        <w:t>attività economiche e socio-culturali legate alle risorse territoriali</w:t>
      </w:r>
      <w:r w:rsidR="00F10279">
        <w:rPr>
          <w:rFonts w:asciiTheme="minorHAnsi" w:hAnsiTheme="minorHAnsi"/>
        </w:rPr>
        <w:t xml:space="preserve">, il presidente del Gal Alto Salento, </w:t>
      </w:r>
      <w:r w:rsidR="00F10279" w:rsidRPr="00F10279">
        <w:rPr>
          <w:rFonts w:asciiTheme="minorHAnsi" w:hAnsiTheme="minorHAnsi"/>
          <w:b/>
        </w:rPr>
        <w:t>avv. Domenico Tanzarella</w:t>
      </w:r>
      <w:r w:rsidR="00F10279">
        <w:rPr>
          <w:rFonts w:asciiTheme="minorHAnsi" w:hAnsiTheme="minorHAnsi"/>
        </w:rPr>
        <w:t xml:space="preserve">, stipula un accordo di rete con </w:t>
      </w:r>
      <w:r w:rsidR="00BC6AC1">
        <w:rPr>
          <w:rFonts w:asciiTheme="minorHAnsi" w:hAnsiTheme="minorHAnsi"/>
        </w:rPr>
        <w:t>l</w:t>
      </w:r>
      <w:r w:rsidR="009D6953">
        <w:rPr>
          <w:rFonts w:asciiTheme="minorHAnsi" w:hAnsiTheme="minorHAnsi"/>
        </w:rPr>
        <w:t xml:space="preserve">a prof.ssa </w:t>
      </w:r>
      <w:r w:rsidR="00D609BF" w:rsidRPr="00D609BF">
        <w:rPr>
          <w:rFonts w:asciiTheme="minorHAnsi" w:hAnsiTheme="minorHAnsi"/>
          <w:b/>
        </w:rPr>
        <w:t>Anna Luisa Saladino</w:t>
      </w:r>
      <w:r w:rsidR="009D6953">
        <w:rPr>
          <w:rFonts w:asciiTheme="minorHAnsi" w:hAnsiTheme="minorHAnsi"/>
        </w:rPr>
        <w:t>, dirigente scolastico dell’</w:t>
      </w:r>
      <w:r w:rsidR="00F25AA3">
        <w:rPr>
          <w:rFonts w:asciiTheme="minorHAnsi" w:hAnsiTheme="minorHAnsi"/>
        </w:rPr>
        <w:t>Istituto superiore</w:t>
      </w:r>
      <w:r w:rsidR="009D6953">
        <w:rPr>
          <w:rFonts w:asciiTheme="minorHAnsi" w:hAnsiTheme="minorHAnsi"/>
        </w:rPr>
        <w:t xml:space="preserve"> </w:t>
      </w:r>
      <w:proofErr w:type="spellStart"/>
      <w:r w:rsidR="009D6953">
        <w:rPr>
          <w:rFonts w:asciiTheme="minorHAnsi" w:hAnsiTheme="minorHAnsi"/>
        </w:rPr>
        <w:t>Pantanelli-Monnet</w:t>
      </w:r>
      <w:proofErr w:type="spellEnd"/>
      <w:r w:rsidR="009D6953">
        <w:rPr>
          <w:rFonts w:asciiTheme="minorHAnsi" w:hAnsiTheme="minorHAnsi"/>
        </w:rPr>
        <w:t>.</w:t>
      </w:r>
    </w:p>
    <w:p w:rsidR="006B147C" w:rsidRDefault="006B147C" w:rsidP="006B147C">
      <w:pPr>
        <w:jc w:val="both"/>
        <w:rPr>
          <w:rFonts w:asciiTheme="minorHAnsi" w:hAnsiTheme="minorHAnsi"/>
        </w:rPr>
      </w:pPr>
      <w:r w:rsidRPr="006B147C">
        <w:rPr>
          <w:rFonts w:asciiTheme="minorHAnsi" w:hAnsiTheme="minorHAnsi" w:cs="Calibri"/>
          <w:bCs/>
          <w:iCs/>
        </w:rPr>
        <w:t>L’accordo tra gli Enti prevede</w:t>
      </w:r>
      <w:r>
        <w:rPr>
          <w:rFonts w:asciiTheme="minorHAnsi" w:hAnsiTheme="minorHAnsi" w:cs="Calibri"/>
          <w:bCs/>
          <w:iCs/>
        </w:rPr>
        <w:t xml:space="preserve"> nei locali dell’Istituto Agrario</w:t>
      </w:r>
      <w:r w:rsidR="00BC6AC1">
        <w:rPr>
          <w:rFonts w:asciiTheme="minorHAnsi" w:hAnsiTheme="minorHAnsi" w:cs="Calibri"/>
          <w:bCs/>
          <w:iCs/>
        </w:rPr>
        <w:t>,</w:t>
      </w:r>
      <w:r w:rsidRPr="006B147C">
        <w:rPr>
          <w:rFonts w:asciiTheme="minorHAnsi" w:hAnsiTheme="minorHAnsi"/>
        </w:rPr>
        <w:t xml:space="preserve"> l’Ideazione, realizzazione e avviamento di un Laboratorio policentrico  rurale di antiche arti e mestieri</w:t>
      </w:r>
      <w:r>
        <w:rPr>
          <w:rFonts w:asciiTheme="minorHAnsi" w:hAnsiTheme="minorHAnsi" w:cs="Calibri"/>
        </w:rPr>
        <w:t>nell’ambito</w:t>
      </w:r>
      <w:r w:rsidRPr="006B147C">
        <w:rPr>
          <w:rFonts w:asciiTheme="minorHAnsi" w:hAnsiTheme="minorHAnsi" w:cs="Calibri"/>
        </w:rPr>
        <w:t xml:space="preserve"> del </w:t>
      </w:r>
      <w:r w:rsidRPr="006B147C">
        <w:rPr>
          <w:rFonts w:asciiTheme="minorHAnsi" w:hAnsiTheme="minorHAnsi"/>
        </w:rPr>
        <w:t>Programma di Sviluppo Rurale 2007-2014 Asse IV- Misura 421 Azione 4.4</w:t>
      </w:r>
      <w:r>
        <w:rPr>
          <w:rFonts w:asciiTheme="minorHAnsi" w:hAnsiTheme="minorHAnsi"/>
        </w:rPr>
        <w:t>.</w:t>
      </w:r>
      <w:r w:rsidR="005131C8">
        <w:rPr>
          <w:rFonts w:asciiTheme="minorHAnsi" w:hAnsiTheme="minorHAnsi"/>
        </w:rPr>
        <w:t xml:space="preserve"> Progetto Transnazionale di Cooperazione</w:t>
      </w:r>
    </w:p>
    <w:p w:rsidR="00BC6AC1" w:rsidRDefault="00153C3B" w:rsidP="006B147C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Si tratta di un laboratorio che ha l’obiettivo di recuperare e valorizzare, attraverso il coinvolgimento degli artigiani e delle maestranze locali, alcuni mestieri tipici del territorio locale. Il laboratorio verrà gestito direttamente dagli artigiani, che organizzeranno </w:t>
      </w:r>
      <w:r w:rsidR="00B16AF7">
        <w:rPr>
          <w:rFonts w:asciiTheme="minorHAnsi" w:hAnsiTheme="minorHAnsi" w:cs="Calibri"/>
        </w:rPr>
        <w:t>dell’attività rivolte al turista, che vorrà vivere un’esperienza immerso nella cultura locale. Il laboratorio servirà anche a far apprendere ai ragazzi in età scolare le tecniche e la manualità di antichi mestieri dell’artigianato locale.</w:t>
      </w:r>
    </w:p>
    <w:p w:rsidR="00655DEB" w:rsidRPr="00655DEB" w:rsidRDefault="003519A1" w:rsidP="00655DE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Inoltre il protocollo d’intesa tra le parti prevede </w:t>
      </w:r>
      <w:r w:rsidR="00655DEB" w:rsidRPr="00655DEB">
        <w:rPr>
          <w:rFonts w:asciiTheme="minorHAnsi" w:hAnsiTheme="minorHAnsi"/>
        </w:rPr>
        <w:t xml:space="preserve">un rapporto di </w:t>
      </w:r>
      <w:r>
        <w:rPr>
          <w:rFonts w:asciiTheme="minorHAnsi" w:hAnsiTheme="minorHAnsi"/>
        </w:rPr>
        <w:t>collaborazione reciproca utile:</w:t>
      </w:r>
    </w:p>
    <w:p w:rsidR="00655DEB" w:rsidRPr="003519A1" w:rsidRDefault="003519A1" w:rsidP="003519A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-alla </w:t>
      </w:r>
      <w:r w:rsidR="00655DEB" w:rsidRPr="003519A1">
        <w:rPr>
          <w:rFonts w:asciiTheme="minorHAnsi" w:hAnsiTheme="minorHAnsi"/>
        </w:rPr>
        <w:t xml:space="preserve">realizzare </w:t>
      </w:r>
      <w:r>
        <w:rPr>
          <w:rFonts w:asciiTheme="minorHAnsi" w:hAnsiTheme="minorHAnsi"/>
        </w:rPr>
        <w:t xml:space="preserve"> di</w:t>
      </w:r>
      <w:r w:rsidR="00655DEB" w:rsidRPr="003519A1">
        <w:rPr>
          <w:rFonts w:asciiTheme="minorHAnsi" w:hAnsiTheme="minorHAnsi"/>
        </w:rPr>
        <w:t>progetti  del Programma Operativo Leader, Misure del PSL, PON- Fondi strutturali Europei, FERS;</w:t>
      </w:r>
    </w:p>
    <w:p w:rsidR="00655DEB" w:rsidRPr="00655DEB" w:rsidRDefault="003519A1" w:rsidP="00655DE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a </w:t>
      </w:r>
      <w:r w:rsidR="00655DEB" w:rsidRPr="00655DEB">
        <w:rPr>
          <w:rFonts w:asciiTheme="minorHAnsi" w:hAnsiTheme="minorHAnsi"/>
        </w:rPr>
        <w:t>mettere in atto iniziative comuni che promuovono il valore paesaggistico del territorio, la storia e le tradizioni delle persone che lo vivono e vi lavorano;</w:t>
      </w:r>
    </w:p>
    <w:p w:rsidR="00655DEB" w:rsidRPr="00655DEB" w:rsidRDefault="003519A1" w:rsidP="00655DE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ad </w:t>
      </w:r>
      <w:r w:rsidR="00655DEB" w:rsidRPr="00655DEB">
        <w:rPr>
          <w:rFonts w:asciiTheme="minorHAnsi" w:hAnsiTheme="minorHAnsi"/>
        </w:rPr>
        <w:t>attivare percorsi di formazione in ambito ambientale e turistico nelle varie forme previste dalle norme di legge;</w:t>
      </w:r>
    </w:p>
    <w:p w:rsidR="00655DEB" w:rsidRPr="00655DEB" w:rsidRDefault="003519A1" w:rsidP="00655DE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-a </w:t>
      </w:r>
      <w:r w:rsidR="00655DEB" w:rsidRPr="00655DEB">
        <w:rPr>
          <w:rFonts w:asciiTheme="minorHAnsi" w:hAnsiTheme="minorHAnsi"/>
        </w:rPr>
        <w:t>promuovere incontri e pubblicazioni di divulgazione scientifica, ambientale e culturale;</w:t>
      </w:r>
    </w:p>
    <w:p w:rsidR="00655DEB" w:rsidRPr="00655DEB" w:rsidRDefault="003519A1" w:rsidP="00655DE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ad </w:t>
      </w:r>
      <w:r w:rsidR="00655DEB" w:rsidRPr="00655DEB">
        <w:rPr>
          <w:rFonts w:asciiTheme="minorHAnsi" w:hAnsiTheme="minorHAnsi"/>
        </w:rPr>
        <w:t>avviare attività educative e di informazione per promuovere nella popolazione e in particolare in quella in età scolare, corretti comportamenti ambientali ed atteggiamenti di consumo consapevole;</w:t>
      </w:r>
    </w:p>
    <w:p w:rsidR="00655DEB" w:rsidRPr="00655DEB" w:rsidRDefault="003519A1" w:rsidP="00655DE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a </w:t>
      </w:r>
      <w:r w:rsidR="00655DEB" w:rsidRPr="00655DEB">
        <w:rPr>
          <w:rFonts w:asciiTheme="minorHAnsi" w:hAnsiTheme="minorHAnsi"/>
        </w:rPr>
        <w:t>definire percorsi di formazione che perseguano la finalità della conoscenza e promozione dell’ambiente e dei prodotti del territorio;</w:t>
      </w:r>
    </w:p>
    <w:p w:rsidR="003519A1" w:rsidRDefault="003519A1" w:rsidP="003519A1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655DEB" w:rsidRPr="00655DEB">
        <w:rPr>
          <w:rFonts w:asciiTheme="minorHAnsi" w:hAnsiTheme="minorHAnsi"/>
        </w:rPr>
        <w:t>sostenere, attraverso progetti comuni, le aziende agricole e turistiche che promuovono lo sviluppo locale;</w:t>
      </w:r>
    </w:p>
    <w:p w:rsidR="00655DEB" w:rsidRPr="00655DEB" w:rsidRDefault="003519A1" w:rsidP="00655DE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-ad </w:t>
      </w:r>
      <w:r w:rsidR="00655DEB" w:rsidRPr="003519A1">
        <w:rPr>
          <w:rFonts w:asciiTheme="minorHAnsi" w:hAnsiTheme="minorHAnsi"/>
        </w:rPr>
        <w:t>attivare iniziative per diffondere nella popolazione, in particolare in quella scolare, la cultura della legalità  e</w:t>
      </w:r>
      <w:r>
        <w:rPr>
          <w:rFonts w:asciiTheme="minorHAnsi" w:hAnsiTheme="minorHAnsi"/>
        </w:rPr>
        <w:t xml:space="preserve"> della sostenibilità ambientale.</w:t>
      </w:r>
    </w:p>
    <w:p w:rsidR="00D609BF" w:rsidRPr="00655DEB" w:rsidRDefault="00D609BF" w:rsidP="00655DEB">
      <w:pPr>
        <w:rPr>
          <w:rFonts w:asciiTheme="minorHAnsi" w:hAnsiTheme="minorHAnsi"/>
        </w:rPr>
      </w:pPr>
    </w:p>
    <w:p w:rsidR="00C940C7" w:rsidRPr="00655DEB" w:rsidRDefault="00C940C7" w:rsidP="00655DEB">
      <w:pPr>
        <w:rPr>
          <w:rFonts w:asciiTheme="minorHAnsi" w:hAnsiTheme="minorHAnsi"/>
        </w:rPr>
      </w:pPr>
    </w:p>
    <w:p w:rsidR="00C940C7" w:rsidRDefault="00C940C7"/>
    <w:sectPr w:rsidR="00C940C7" w:rsidSect="001D13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3D2D"/>
    <w:multiLevelType w:val="hybridMultilevel"/>
    <w:tmpl w:val="CE7ACF74"/>
    <w:lvl w:ilvl="0" w:tplc="1720ADC6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Arial" w:eastAsia="Times New Roman" w:hAnsi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95456F"/>
    <w:multiLevelType w:val="hybridMultilevel"/>
    <w:tmpl w:val="051A077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9B1494D"/>
    <w:multiLevelType w:val="hybridMultilevel"/>
    <w:tmpl w:val="C40A3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B4E14"/>
    <w:multiLevelType w:val="hybridMultilevel"/>
    <w:tmpl w:val="1C5C3DC8"/>
    <w:lvl w:ilvl="0" w:tplc="68620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D3797C"/>
    <w:rsid w:val="00106A10"/>
    <w:rsid w:val="001307D7"/>
    <w:rsid w:val="00153C3B"/>
    <w:rsid w:val="001D13C6"/>
    <w:rsid w:val="00316F56"/>
    <w:rsid w:val="003519A1"/>
    <w:rsid w:val="003B0313"/>
    <w:rsid w:val="00494185"/>
    <w:rsid w:val="005131C8"/>
    <w:rsid w:val="00655DEB"/>
    <w:rsid w:val="00681463"/>
    <w:rsid w:val="006B147C"/>
    <w:rsid w:val="008A134E"/>
    <w:rsid w:val="009D6953"/>
    <w:rsid w:val="009E0E04"/>
    <w:rsid w:val="00B16AF7"/>
    <w:rsid w:val="00B421B0"/>
    <w:rsid w:val="00BC6AC1"/>
    <w:rsid w:val="00C940C7"/>
    <w:rsid w:val="00CB436B"/>
    <w:rsid w:val="00D3797C"/>
    <w:rsid w:val="00D609BF"/>
    <w:rsid w:val="00F10279"/>
    <w:rsid w:val="00F25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41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494185"/>
    <w:pPr>
      <w:spacing w:after="0" w:line="240" w:lineRule="auto"/>
    </w:pPr>
  </w:style>
  <w:style w:type="character" w:customStyle="1" w:styleId="tevidenz121">
    <w:name w:val="tevidenz121"/>
    <w:rsid w:val="00C940C7"/>
    <w:rPr>
      <w:rFonts w:ascii="Verdana" w:hAnsi="Verdana"/>
      <w:b/>
      <w:sz w:val="18"/>
    </w:rPr>
  </w:style>
  <w:style w:type="character" w:customStyle="1" w:styleId="tnormale121">
    <w:name w:val="tnormale121"/>
    <w:rsid w:val="00C940C7"/>
    <w:rPr>
      <w:rFonts w:ascii="Verdana" w:hAnsi="Verdana"/>
      <w:sz w:val="18"/>
    </w:rPr>
  </w:style>
  <w:style w:type="paragraph" w:customStyle="1" w:styleId="Default">
    <w:name w:val="Default"/>
    <w:rsid w:val="003B031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6B14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1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1C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2015-02-13T09:41:00Z</cp:lastPrinted>
  <dcterms:created xsi:type="dcterms:W3CDTF">2015-02-13T09:49:00Z</dcterms:created>
  <dcterms:modified xsi:type="dcterms:W3CDTF">2015-02-13T09:49:00Z</dcterms:modified>
</cp:coreProperties>
</file>